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М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В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Гончаров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кандидат юридических наук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 xml:space="preserve">доцент кафедры конституционного права 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Ур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альского государственного юридического университета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Естественно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е право в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публично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 прав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Обозначение предмета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При анализе естественного права применительно к отраслям публичного права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 в первую очередь к праву конституционному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возникает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как правило два вопроса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Первый вопрос касается реестра прав личности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которые могут быть охарактеризованы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как права естественные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то есть права не предоставляемые законодателем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государственными органами</w:t>
      </w:r>
      <w:r>
        <w:rPr>
          <w:rFonts w:ascii="Arial" w:hAnsi="Arial"/>
          <w:sz w:val="20"/>
          <w:szCs w:val="20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Второй вопрос соотносится в целом с публичным правом и его основаниями и содержанием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есть ли в нем в качестве имманентного элемента некая совокупность правовых принципов и предписаний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независящих от дискреции органов публичной власти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условным термином для обозначения этого элемента предлагается использовать термин «правовая незыблемость»</w:t>
      </w:r>
      <w:r>
        <w:rPr>
          <w:rFonts w:ascii="Arial" w:hAnsi="Arial"/>
          <w:sz w:val="20"/>
          <w:szCs w:val="20"/>
          <w:rtl w:val="0"/>
          <w:lang w:val="ru-RU"/>
        </w:rPr>
        <w:t xml:space="preserve">). 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firstLine="567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Б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Естественные права и естественное право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(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jus naturae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Возможно ли в настоящее время сформулировать или просто привести примеры таких публичных прав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которые могут быть признаны естественными</w:t>
      </w:r>
      <w:r>
        <w:rPr>
          <w:rFonts w:ascii="Arial" w:hAnsi="Arial"/>
          <w:sz w:val="20"/>
          <w:szCs w:val="20"/>
          <w:rtl w:val="0"/>
          <w:lang w:val="ru-RU"/>
        </w:rPr>
        <w:t>?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В отношении следующих прав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 серьезной долей доказанности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в литературе приводятся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аргументы по обоснованию их естественно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правовой природы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потенциально обоснованный реестр естественных притязаний публичного права</w:t>
      </w:r>
      <w:r>
        <w:rPr>
          <w:rFonts w:ascii="Arial" w:hAnsi="Arial"/>
          <w:sz w:val="20"/>
          <w:szCs w:val="20"/>
          <w:rtl w:val="0"/>
          <w:lang w:val="ru-RU"/>
        </w:rPr>
        <w:t>):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образование государства и иных территориальных форм публичной жизни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реальное участие в управлении публичными делами в государстве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установление публичного правопорядка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включая принятие конституции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принудительную замену нелегитимных органов публичной власти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свободу слова и выражения мнения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объединение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том числе в политические объединения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собрания и иные публичные встречи и мероприятия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 на обращение друг к другу и в органы публичной власти</w:t>
      </w:r>
      <w:r>
        <w:rPr>
          <w:rFonts w:ascii="Arial" w:hAnsi="Arial"/>
          <w:sz w:val="20"/>
          <w:szCs w:val="20"/>
          <w:rtl w:val="0"/>
          <w:lang w:val="ru-RU"/>
        </w:rPr>
        <w:t>..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Что будет являться критерием для их выявления</w:t>
      </w:r>
      <w:r>
        <w:rPr>
          <w:rFonts w:ascii="Arial" w:hAnsi="Arial"/>
          <w:sz w:val="20"/>
          <w:szCs w:val="20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firstLine="567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Критерии естественно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правовой составляющей в публичном праве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Одним из распространенных убеждений является тезис о том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что естественные права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это права соответствующие природе человека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проистекающие из нее или выводимые из социальной общности людей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При таком подходе кроме конвенционализма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необходимо конечно вывести или определить логически объясняемый критерий формулирования перечня естественных прав или самой естественно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правовой сущности публичного права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его правовой незыблемости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Выведение естественного права из неких априорных принципов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понятие 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Канта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требует прояснения механизма выявления таких принципов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firstLine="567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Заявляемые в науке критерии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sz w:val="20"/>
          <w:szCs w:val="20"/>
          <w:rtl w:val="0"/>
          <w:lang w:val="ru-RU"/>
        </w:rPr>
        <w:t>Спорным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но все же выводим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может стать критерий «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достойности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существования личности»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ru-RU"/>
        </w:rPr>
        <w:t>Другим критерием может рассматриваться категория «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справедливость</w:t>
      </w:r>
      <w:r>
        <w:rPr>
          <w:rFonts w:ascii="Arial" w:hAnsi="Arial" w:hint="default"/>
          <w:sz w:val="20"/>
          <w:szCs w:val="20"/>
          <w:rtl w:val="0"/>
          <w:lang w:val="ru-RU"/>
        </w:rPr>
        <w:t>» как общетеоретическая и философская оценка правомерности определенного индивидуального притязания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ru-RU"/>
        </w:rPr>
        <w:t>Аналогично обстоит дело и с категорией личная «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свобода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субъективной по своему наполнению в различных трактовках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«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 xml:space="preserve">Прирожденное право только одно – свобода 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независимость от принуждающего произвола другого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поскольку она совместима со свободой каждого другого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сообразной со всеобщим законом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и есть это единственное первоначальное право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присущее каждому человеку в силу его принадлежности к человеческому роду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»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Кант 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Метафизические начала учения о праве </w:t>
      </w:r>
      <w:r>
        <w:rPr>
          <w:rFonts w:ascii="Arial" w:hAnsi="Arial"/>
          <w:sz w:val="20"/>
          <w:szCs w:val="20"/>
          <w:rtl w:val="0"/>
          <w:lang w:val="ru-RU"/>
        </w:rPr>
        <w:t xml:space="preserve">// </w:t>
      </w:r>
      <w:r>
        <w:rPr>
          <w:rFonts w:ascii="Arial" w:hAnsi="Arial" w:hint="default"/>
          <w:sz w:val="20"/>
          <w:szCs w:val="20"/>
          <w:rtl w:val="0"/>
          <w:lang w:val="ru-RU"/>
        </w:rPr>
        <w:t>Кант 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Критика практического разума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СПб</w:t>
      </w:r>
      <w:r>
        <w:rPr>
          <w:rFonts w:ascii="Arial" w:hAnsi="Arial"/>
          <w:sz w:val="20"/>
          <w:szCs w:val="20"/>
          <w:rtl w:val="0"/>
          <w:lang w:val="ru-RU"/>
        </w:rPr>
        <w:t>., 1995.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 </w:t>
      </w:r>
      <w:r>
        <w:rPr>
          <w:rFonts w:ascii="Arial" w:hAnsi="Arial" w:hint="default"/>
          <w:sz w:val="20"/>
          <w:szCs w:val="20"/>
          <w:rtl w:val="0"/>
          <w:lang w:val="ru-RU"/>
        </w:rPr>
        <w:t>Не менее субъективным является критерий «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цель –</w:t>
      </w: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польза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то есть право может считаться естественным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если его целью является индивидуальная или общественная польза – «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>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ò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>minum 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>usa jus constitutum est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 </w:t>
      </w:r>
      <w:r>
        <w:rPr>
          <w:rFonts w:ascii="Arial" w:hAnsi="Arial" w:hint="default"/>
          <w:sz w:val="20"/>
          <w:szCs w:val="20"/>
          <w:rtl w:val="0"/>
          <w:lang w:val="ru-RU"/>
        </w:rPr>
        <w:t>Часто критерием естественности прав выступает категория «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нравственность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как внутренний инструмент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определяющий границы дозволенного поведения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tabs>
          <w:tab w:val="left" w:pos="720"/>
        </w:tabs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6. </w:t>
      </w:r>
      <w:r>
        <w:rPr>
          <w:rFonts w:ascii="Arial" w:hAnsi="Arial" w:hint="default"/>
          <w:sz w:val="20"/>
          <w:szCs w:val="20"/>
          <w:rtl w:val="0"/>
          <w:lang w:val="ru-RU"/>
        </w:rPr>
        <w:t>Может ли быть критерием «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идеалистичность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» юридической конструкции и содержания того или иного права еще более спорный вопрос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например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«истинный идеал» Платона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идеальное представление о праве</w:t>
      </w:r>
      <w:r>
        <w:rPr>
          <w:rFonts w:ascii="Arial" w:hAnsi="Arial"/>
          <w:sz w:val="20"/>
          <w:szCs w:val="20"/>
          <w:rtl w:val="0"/>
          <w:lang w:val="ru-RU"/>
        </w:rPr>
        <w:t xml:space="preserve">). </w:t>
      </w:r>
      <w:r>
        <w:rPr>
          <w:rFonts w:ascii="Arial" w:hAnsi="Arial" w:hint="default"/>
          <w:sz w:val="20"/>
          <w:szCs w:val="20"/>
          <w:rtl w:val="0"/>
          <w:lang w:val="ru-RU"/>
        </w:rPr>
        <w:t>Здесь субъективная возможность индивида становится естественной при соблюдении всех логических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технико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юридических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филологических правил конструирования субъективного права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 </w:t>
      </w:r>
      <w:r>
        <w:rPr>
          <w:rFonts w:ascii="Arial" w:hAnsi="Arial" w:hint="default"/>
          <w:sz w:val="20"/>
          <w:szCs w:val="20"/>
          <w:rtl w:val="0"/>
          <w:lang w:val="ru-RU"/>
        </w:rPr>
        <w:t>Довольно часто критерием естественно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правовой характеристика права обозначают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общепризнанный хар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ктер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тех или иных прав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«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»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часть </w:t>
      </w:r>
      <w:r>
        <w:rPr>
          <w:rFonts w:ascii="Arial" w:hAnsi="Arial"/>
          <w:sz w:val="20"/>
          <w:szCs w:val="20"/>
          <w:rtl w:val="0"/>
          <w:lang w:val="ru-RU"/>
        </w:rPr>
        <w:t xml:space="preserve">1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статьи </w:t>
      </w:r>
      <w:r>
        <w:rPr>
          <w:rFonts w:ascii="Arial" w:hAnsi="Arial"/>
          <w:sz w:val="20"/>
          <w:szCs w:val="20"/>
          <w:rtl w:val="0"/>
          <w:lang w:val="ru-RU"/>
        </w:rPr>
        <w:t xml:space="preserve">17 </w:t>
      </w:r>
      <w:r>
        <w:rPr>
          <w:rFonts w:ascii="Arial" w:hAnsi="Arial" w:hint="default"/>
          <w:sz w:val="20"/>
          <w:szCs w:val="20"/>
          <w:rtl w:val="0"/>
          <w:lang w:val="ru-RU"/>
        </w:rPr>
        <w:t>Конституции РФ</w:t>
      </w:r>
      <w:r>
        <w:rPr>
          <w:rFonts w:ascii="Arial" w:hAnsi="Arial"/>
          <w:sz w:val="20"/>
          <w:szCs w:val="20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 </w:t>
      </w:r>
      <w:r>
        <w:rPr>
          <w:rFonts w:ascii="Arial" w:hAnsi="Arial" w:hint="default"/>
          <w:sz w:val="20"/>
          <w:szCs w:val="20"/>
          <w:rtl w:val="0"/>
          <w:lang w:val="ru-RU"/>
        </w:rPr>
        <w:t>Чаще остальных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возможно и считается подавляющей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точка зрения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согласно которой основным критерием может быть признан критерий «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разумности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«Федеральный законодатель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осуществляя соответствующее регулирование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обязан обеспечивать баланс конституционно защищаемых ценностей и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соблюдать критерии разумности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необходимости и соразмерности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..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возможных ограничений прав и свобод и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не вправе вводить не имеющие объективного и разумного оправдания различия в правах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лиц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принадлежащих к одной и той же категории»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пункт </w:t>
      </w:r>
      <w:r>
        <w:rPr>
          <w:rFonts w:ascii="Arial" w:hAnsi="Arial"/>
          <w:sz w:val="20"/>
          <w:szCs w:val="20"/>
          <w:rtl w:val="0"/>
          <w:lang w:val="ru-RU"/>
        </w:rPr>
        <w:t xml:space="preserve">2 </w:t>
      </w:r>
      <w:r>
        <w:rPr>
          <w:rFonts w:ascii="Arial" w:hAnsi="Arial" w:hint="default"/>
          <w:sz w:val="20"/>
          <w:szCs w:val="20"/>
          <w:rtl w:val="0"/>
          <w:lang w:val="ru-RU"/>
        </w:rPr>
        <w:t>мотивировочной части Постановления Конституционного Суда Российской Федерации № </w:t>
      </w:r>
      <w:r>
        <w:rPr>
          <w:rFonts w:ascii="Arial" w:hAnsi="Arial"/>
          <w:sz w:val="20"/>
          <w:szCs w:val="20"/>
          <w:rtl w:val="0"/>
          <w:lang w:val="ru-RU"/>
        </w:rPr>
        <w:t>29-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 от </w:t>
      </w:r>
      <w:r>
        <w:rPr>
          <w:rFonts w:ascii="Arial" w:hAnsi="Arial"/>
          <w:sz w:val="20"/>
          <w:szCs w:val="20"/>
          <w:rtl w:val="0"/>
          <w:lang w:val="ru-RU"/>
        </w:rPr>
        <w:t>18.07.2019.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firstLine="567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Закон законов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Еще одним аспектом критеризации естественного права в современной публично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правовой сфере может стать вопрос от соотношении естественного права и права формализуемого нормативными правовыми актами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положительное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позитивное право</w:t>
      </w:r>
      <w:r>
        <w:rPr>
          <w:rFonts w:ascii="Arial" w:hAnsi="Arial"/>
          <w:sz w:val="20"/>
          <w:szCs w:val="20"/>
          <w:rtl w:val="0"/>
          <w:lang w:val="ru-RU"/>
        </w:rPr>
        <w:t xml:space="preserve">). </w:t>
      </w:r>
      <w:r>
        <w:rPr>
          <w:rFonts w:ascii="Arial" w:hAnsi="Arial" w:hint="default"/>
          <w:sz w:val="20"/>
          <w:szCs w:val="20"/>
          <w:rtl w:val="0"/>
          <w:lang w:val="ru-RU"/>
        </w:rPr>
        <w:t>Отсутствие у естественного права формализованного источника заставляет предположить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что естественное право служит «законом»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императивом для права формализуемого органами публичной власти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По сути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это означает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что естественное право это право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которому должен быть подчинен законодатель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«</w:t>
      </w:r>
      <w:r>
        <w:rPr>
          <w:rFonts w:ascii="Arial" w:hAnsi="Arial"/>
          <w:sz w:val="20"/>
          <w:szCs w:val="20"/>
          <w:rtl w:val="0"/>
          <w:lang w:val="ru-RU"/>
        </w:rPr>
        <w:t>l</w:t>
      </w:r>
      <w:r>
        <w:rPr>
          <w:rFonts w:ascii="Arial" w:hAnsi="Arial" w:hint="default"/>
          <w:sz w:val="20"/>
          <w:szCs w:val="20"/>
          <w:rtl w:val="0"/>
          <w:lang w:val="ru-RU"/>
        </w:rPr>
        <w:t>è</w:t>
      </w:r>
      <w:r>
        <w:rPr>
          <w:rFonts w:ascii="Arial" w:hAnsi="Arial"/>
          <w:sz w:val="20"/>
          <w:szCs w:val="20"/>
          <w:rtl w:val="0"/>
          <w:lang w:val="ru-RU"/>
        </w:rPr>
        <w:t>ges l</w:t>
      </w:r>
      <w:r>
        <w:rPr>
          <w:rFonts w:ascii="Arial" w:hAnsi="Arial" w:hint="default"/>
          <w:sz w:val="20"/>
          <w:szCs w:val="20"/>
          <w:rtl w:val="0"/>
          <w:lang w:val="ru-RU"/>
        </w:rPr>
        <w:t>è</w:t>
      </w:r>
      <w:r>
        <w:rPr>
          <w:rFonts w:ascii="Arial" w:hAnsi="Arial"/>
          <w:sz w:val="20"/>
          <w:szCs w:val="20"/>
          <w:rtl w:val="0"/>
          <w:lang w:val="ru-RU"/>
        </w:rPr>
        <w:t>gum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»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закон законов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). 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firstLine="567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Функции естественного права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Зачем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Возможно среди актуальных функций естественного права выделить следующие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sz w:val="20"/>
          <w:szCs w:val="20"/>
          <w:rtl w:val="0"/>
          <w:lang w:val="ru-RU"/>
        </w:rPr>
        <w:t>Естественное право может и должно выступать критерием оценки содержательной части правомочий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выводимых из свободы человека и гарантией ее обеспечения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ru-RU"/>
        </w:rPr>
        <w:t>Естественное право может и должно выступать инструментом оценки правомерности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В этом смысле часто Конституционный Суд Российской Федерации использует категорию «соответствие общеправовым принципам»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ru-RU"/>
        </w:rPr>
        <w:t>Естественное право может выступать в качестве средства отграничения «правового» от «неправового»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учитывая те права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которые были признаны естественными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Соответствие критерию разумности стало официальным критерием конституционности правовых предписаний при проверки их Конституционным Судом Российской Федерации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 </w:t>
      </w:r>
      <w:r>
        <w:rPr>
          <w:rFonts w:ascii="Arial" w:hAnsi="Arial" w:hint="default"/>
          <w:sz w:val="20"/>
          <w:szCs w:val="20"/>
          <w:rtl w:val="0"/>
          <w:lang w:val="ru-RU"/>
        </w:rPr>
        <w:t>Естественное право обеспечивает соответствие всех правовых норм первичной цели правового регулирования – обеспечения защищенности свободы человека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его благополучия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практике деятельности юрисдикционных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судебных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органов естественное право выполняет функцию неисчерпаемого источника для толкования большинства норм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принципов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норм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целей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норм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гарантий и в целом норм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содержащихся в базовых правовых актах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конституции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международные договоры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декларации и др</w:t>
      </w:r>
      <w:r>
        <w:rPr>
          <w:rFonts w:ascii="Arial" w:hAnsi="Arial"/>
          <w:sz w:val="20"/>
          <w:szCs w:val="20"/>
          <w:rtl w:val="0"/>
          <w:lang w:val="ru-RU"/>
        </w:rPr>
        <w:t>.).</w:t>
      </w:r>
    </w:p>
    <w:p>
      <w:pPr>
        <w:pStyle w:val="Normal.0"/>
        <w:ind w:firstLine="567"/>
        <w:jc w:val="both"/>
      </w:pPr>
      <w:r>
        <w:rPr>
          <w:rFonts w:ascii="Arial" w:hAnsi="Arial"/>
          <w:sz w:val="20"/>
          <w:szCs w:val="20"/>
          <w:rtl w:val="0"/>
          <w:lang w:val="ru-RU"/>
        </w:rPr>
        <w:t xml:space="preserve">6. </w:t>
      </w:r>
      <w:r>
        <w:rPr>
          <w:rFonts w:ascii="Arial" w:hAnsi="Arial" w:hint="default"/>
          <w:sz w:val="20"/>
          <w:szCs w:val="20"/>
          <w:rtl w:val="0"/>
          <w:lang w:val="ru-RU"/>
        </w:rPr>
        <w:t>Аналогичным образом обстоит дело с предназначением естественного права как источника восполнения пробелов в правовом регулировании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720" w:bottom="567" w:left="720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